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240"/>
        <w:ind w:left="0" w:firstLine="567"/>
        <w:jc w:val="center"/>
        <w:outlineLvl w:val="2"/>
        <w:rPr>
          <w:szCs w:val="28"/>
        </w:rPr>
      </w:pPr>
      <w:r>
        <w:rPr/>
        <w:drawing>
          <wp:inline distT="0" distB="0" distL="0" distR="0">
            <wp:extent cx="1423670" cy="51244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575" t="14636" r="0" b="16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512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numPr>
          <w:ilvl w:val="0"/>
          <w:numId w:val="0"/>
        </w:numPr>
        <w:spacing w:lineRule="auto" w:line="240"/>
        <w:ind w:left="0" w:firstLine="567"/>
        <w:jc w:val="center"/>
        <w:outlineLvl w:val="2"/>
        <w:rPr>
          <w:szCs w:val="28"/>
        </w:rPr>
      </w:pPr>
      <w:r>
        <w:rPr>
          <w:szCs w:val="28"/>
        </w:rPr>
        <w:t>Акционерное Общество</w:t>
      </w:r>
    </w:p>
    <w:p>
      <w:pPr>
        <w:pStyle w:val="Normal"/>
        <w:spacing w:lineRule="auto" w:line="240"/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>«Дальневосточная распределительная сетевая компания»</w:t>
      </w:r>
    </w:p>
    <w:p>
      <w:pPr>
        <w:pStyle w:val="11"/>
        <w:numPr>
          <w:ilvl w:val="0"/>
          <w:numId w:val="0"/>
        </w:numPr>
        <w:tabs>
          <w:tab w:val="clear" w:pos="708"/>
          <w:tab w:val="left" w:pos="2340" w:leader="none"/>
          <w:tab w:val="center" w:pos="4677" w:leader="none"/>
        </w:tabs>
        <w:spacing w:before="0" w:after="0"/>
        <w:ind w:left="0" w:hanging="0"/>
        <w:jc w:val="left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11"/>
        <w:numPr>
          <w:ilvl w:val="0"/>
          <w:numId w:val="0"/>
        </w:numPr>
        <w:tabs>
          <w:tab w:val="clear" w:pos="708"/>
          <w:tab w:val="left" w:pos="2340" w:leader="none"/>
          <w:tab w:val="center" w:pos="4677" w:leader="none"/>
        </w:tabs>
        <w:spacing w:before="0" w:after="0"/>
        <w:ind w:left="0" w:hanging="0"/>
        <w:jc w:val="center"/>
        <w:rPr>
          <w:rFonts w:ascii="Times New Roman" w:hAnsi="Times New Roman"/>
          <w:sz w:val="28"/>
          <w:szCs w:val="28"/>
        </w:rPr>
      </w:pPr>
      <w:bookmarkStart w:id="0" w:name="_Toc323988392"/>
      <w:bookmarkStart w:id="1" w:name="_Toc336885827"/>
      <w:r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>
        <w:rPr>
          <w:rFonts w:ascii="Times New Roman" w:hAnsi="Times New Roman"/>
          <w:sz w:val="28"/>
          <w:szCs w:val="28"/>
        </w:rPr>
        <w:t>№ 3/ВП</w:t>
      </w:r>
    </w:p>
    <w:p>
      <w:pPr>
        <w:pStyle w:val="BodyTextIndent2"/>
        <w:jc w:val="center"/>
        <w:rPr>
          <w:b/>
          <w:bCs/>
          <w:sz w:val="22"/>
          <w:szCs w:val="12"/>
        </w:rPr>
      </w:pPr>
      <w:r>
        <w:rPr>
          <w:b/>
          <w:bCs/>
          <w:szCs w:val="28"/>
        </w:rPr>
        <w:t xml:space="preserve">Закупочной комиссии по конкурсу в электронной форме (участниками которого могут быть только субъекты малого и среднего предпринимательства) на право заключения договора </w:t>
      </w:r>
      <w:r>
        <w:rPr>
          <w:b/>
          <w:bCs/>
          <w:i/>
          <w:iCs/>
          <w:szCs w:val="28"/>
        </w:rPr>
        <w:t>ООКДП2 42.22.12.110 Выполнение строительно-монтажных работ (включая поставку оборудования и материалов), проектно-изыскательских и кадастровых работ для технологического присоединения энергопринимающих устройств потребителей к электрическим сетям на территории обслуживания структурного подразделения "Приморские южные электрические сети" в рамках инвестиционной программы филиала "Приморские электрические сети" (рамочный договор)</w:t>
      </w:r>
      <w:r>
        <w:rPr>
          <w:b/>
          <w:bCs/>
          <w:i/>
          <w:iCs/>
          <w:szCs w:val="28"/>
          <w:lang w:bidi="ru-RU"/>
        </w:rPr>
        <w:t xml:space="preserve"> </w:t>
      </w:r>
      <w:r>
        <w:rPr>
          <w:b/>
          <w:bCs/>
          <w:i/>
          <w:iCs/>
          <w:szCs w:val="28"/>
        </w:rPr>
        <w:t xml:space="preserve">лот № </w:t>
      </w:r>
      <w:r>
        <w:rPr>
          <w:b/>
          <w:bCs/>
          <w:i w:val="false"/>
          <w:iCs w:val="false"/>
          <w:szCs w:val="28"/>
        </w:rPr>
        <w:t>189401</w:t>
      </w:r>
      <w:r>
        <w:rPr>
          <w:b/>
          <w:bCs/>
          <w:szCs w:val="28"/>
        </w:rPr>
        <w:t>-КС ПИР СМР-2025-ДРСК-ПЭС</w:t>
      </w:r>
    </w:p>
    <w:p>
      <w:pPr>
        <w:pStyle w:val="BodyTextIndent2"/>
        <w:jc w:val="center"/>
        <w:rPr>
          <w:b/>
          <w:bCs/>
          <w:sz w:val="22"/>
          <w:szCs w:val="12"/>
        </w:rPr>
      </w:pPr>
      <w:r>
        <w:rPr/>
      </w:r>
    </w:p>
    <w:p>
      <w:pPr>
        <w:pStyle w:val="BodyTextIndent2"/>
        <w:jc w:val="center"/>
        <w:rPr>
          <w:b/>
          <w:bCs/>
          <w:sz w:val="12"/>
          <w:szCs w:val="12"/>
        </w:rPr>
      </w:pPr>
      <w:r>
        <w:rPr>
          <w:b/>
          <w:bCs/>
          <w:sz w:val="12"/>
          <w:szCs w:val="12"/>
        </w:rPr>
      </w:r>
    </w:p>
    <w:tbl>
      <w:tblPr>
        <w:tblStyle w:val="af1"/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2235"/>
        <w:gridCol w:w="4678"/>
        <w:gridCol w:w="2977"/>
      </w:tblGrid>
      <w:tr>
        <w:trPr>
          <w:trHeight w:val="469" w:hRule="atLeas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г. Благовещенск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601" w:right="317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1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1» а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преля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2025</w:t>
            </w:r>
          </w:p>
        </w:tc>
      </w:tr>
    </w:tbl>
    <w:p>
      <w:pPr>
        <w:pStyle w:val="25"/>
        <w:numPr>
          <w:ilvl w:val="3"/>
        </w:numPr>
        <w:tabs>
          <w:tab w:val="clear" w:pos="708"/>
          <w:tab w:val="left" w:pos="0" w:leader="none"/>
          <w:tab w:val="left" w:pos="993" w:leader="none"/>
        </w:tabs>
        <w:ind w:left="0" w:hanging="0"/>
        <w:jc w:val="left"/>
        <w:rPr>
          <w:i/>
          <w:i/>
          <w:iCs/>
        </w:rPr>
      </w:pPr>
      <w:r>
        <w:rPr>
          <w:b/>
          <w:bCs w:val="false"/>
          <w:i/>
          <w:iCs/>
          <w:sz w:val="26"/>
          <w:szCs w:val="26"/>
        </w:rPr>
        <w:t xml:space="preserve">32514581417 - </w:t>
      </w:r>
      <w:r>
        <w:rPr>
          <w:b/>
          <w:bCs w:val="false"/>
          <w:i/>
          <w:iCs/>
          <w:sz w:val="26"/>
          <w:szCs w:val="26"/>
        </w:rPr>
        <w:t>ЕИС</w:t>
      </w:r>
    </w:p>
    <w:p>
      <w:pPr>
        <w:pStyle w:val="Normal"/>
        <w:spacing w:lineRule="auto" w:line="240"/>
        <w:ind w:right="-1" w:hanging="0"/>
        <w:jc w:val="center"/>
        <w:rPr>
          <w:sz w:val="10"/>
          <w:szCs w:val="12"/>
        </w:rPr>
      </w:pPr>
      <w:r>
        <w:rPr/>
      </w:r>
    </w:p>
    <w:p>
      <w:pPr>
        <w:pStyle w:val="Normal"/>
        <w:spacing w:lineRule="auto" w:line="240"/>
        <w:ind w:right="-1" w:hanging="0"/>
        <w:jc w:val="center"/>
        <w:rPr>
          <w:sz w:val="10"/>
          <w:szCs w:val="12"/>
        </w:rPr>
      </w:pPr>
      <w:r>
        <w:rPr>
          <w:b/>
          <w:sz w:val="22"/>
          <w:szCs w:val="24"/>
        </w:rPr>
        <w:t xml:space="preserve">КОЛИЧЕСТВО ПОДАННЫХ ЗАЯВОК НА УЧАСТИЕ В ЗАКУПКЕ: 5 (пять) </w:t>
      </w:r>
      <w:r>
        <w:rPr>
          <w:sz w:val="22"/>
          <w:szCs w:val="24"/>
        </w:rPr>
        <w:t>заявки.</w:t>
      </w:r>
    </w:p>
    <w:tbl>
      <w:tblPr>
        <w:tblW w:w="949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93"/>
        <w:gridCol w:w="5380"/>
        <w:gridCol w:w="3122"/>
      </w:tblGrid>
      <w:tr>
        <w:trPr>
          <w:tblHeader w:val="true"/>
          <w:trHeight w:val="178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spacing w:before="0" w:after="0"/>
              <w:ind w:left="-81" w:right="0" w:hanging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№</w:t>
            </w:r>
          </w:p>
          <w:p>
            <w:pPr>
              <w:pStyle w:val="Style19"/>
              <w:widowControl w:val="false"/>
              <w:spacing w:before="0" w:after="0"/>
              <w:ind w:left="-81" w:right="0" w:hanging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п/п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9"/>
              <w:widowControl w:val="false"/>
              <w:spacing w:before="0" w:after="0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spacing w:lineRule="auto" w:line="240"/>
              <w:ind w:hang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Заявка №366702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20.03.2025 08:00:49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spacing w:lineRule="auto" w:line="240"/>
              <w:ind w:hang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Заявка №367160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21.03.2025 03:48:04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spacing w:lineRule="auto" w:line="240"/>
              <w:ind w:hang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53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Заявка №367163</w:t>
            </w:r>
          </w:p>
        </w:tc>
        <w:tc>
          <w:tcPr>
            <w:tcW w:w="3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21.03.2025 04:28:57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spacing w:lineRule="auto" w:line="240"/>
              <w:ind w:hang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53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Заявка №367167</w:t>
            </w:r>
          </w:p>
        </w:tc>
        <w:tc>
          <w:tcPr>
            <w:tcW w:w="3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21.03.2025 05:14:11 MCK</w:t>
            </w:r>
          </w:p>
        </w:tc>
      </w:tr>
      <w:tr>
        <w:trPr>
          <w:trHeight w:val="65" w:hRule="atLeast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napToGrid w:val="false"/>
              <w:spacing w:lineRule="auto" w:line="240"/>
              <w:ind w:hang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53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Заявка №367176</w:t>
            </w:r>
          </w:p>
        </w:tc>
        <w:tc>
          <w:tcPr>
            <w:tcW w:w="3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bidi w:val="0"/>
              <w:spacing w:lineRule="auto" w:line="24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21.03.2025 06:07:35 MCK</w:t>
            </w:r>
          </w:p>
        </w:tc>
      </w:tr>
    </w:tbl>
    <w:p>
      <w:pPr>
        <w:pStyle w:val="Normal"/>
        <w:spacing w:lineRule="auto" w:line="240"/>
        <w:ind w:right="-143" w:hanging="0"/>
        <w:jc w:val="center"/>
        <w:rPr>
          <w:sz w:val="10"/>
          <w:szCs w:val="12"/>
        </w:rPr>
      </w:pPr>
      <w:r>
        <w:rPr>
          <w:sz w:val="10"/>
          <w:szCs w:val="12"/>
        </w:rPr>
      </w:r>
    </w:p>
    <w:p>
      <w:pPr>
        <w:pStyle w:val="Normal"/>
        <w:spacing w:lineRule="auto" w:line="240"/>
        <w:ind w:right="-143" w:hanging="0"/>
        <w:rPr>
          <w:sz w:val="24"/>
        </w:rPr>
      </w:pPr>
      <w:r>
        <w:rPr>
          <w:rFonts w:eastAsia="Times New Roman" w:cs="Times New Roman"/>
          <w:b/>
          <w:bCs/>
          <w:color w:val="auto"/>
          <w:kern w:val="0"/>
          <w:sz w:val="22"/>
          <w:szCs w:val="24"/>
          <w:lang w:val="ru-RU" w:eastAsia="ru-RU" w:bidi="ar-SA"/>
        </w:rPr>
        <w:t>КОЛИЧЕСТВО ОТКЛОНЕННЫХ ЗАЯВОК: 0 (ноль) заявка.</w:t>
      </w:r>
    </w:p>
    <w:p>
      <w:pPr>
        <w:pStyle w:val="BodyTextIndent2"/>
        <w:ind w:hanging="0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</w:r>
    </w:p>
    <w:p>
      <w:pPr>
        <w:pStyle w:val="BodyTextIndent2"/>
        <w:ind w:hanging="0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>
      <w:pPr>
        <w:pStyle w:val="BodyTextIndent2"/>
        <w:numPr>
          <w:ilvl w:val="0"/>
          <w:numId w:val="11"/>
        </w:numPr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 ранжировке заявок </w:t>
      </w:r>
    </w:p>
    <w:p>
      <w:pPr>
        <w:pStyle w:val="BodyTextIndent2"/>
        <w:numPr>
          <w:ilvl w:val="0"/>
          <w:numId w:val="12"/>
        </w:numPr>
        <w:rPr>
          <w:bCs/>
          <w:i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выборе победителя закупки.</w:t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BodyText"/>
        <w:keepNext w:val="true"/>
        <w:jc w:val="both"/>
        <w:rPr>
          <w:b/>
          <w:i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ВОПРОС №1. </w:t>
      </w:r>
      <w:r>
        <w:rPr>
          <w:b/>
          <w:bCs/>
          <w:i/>
          <w:iCs/>
          <w:sz w:val="26"/>
          <w:szCs w:val="26"/>
        </w:rPr>
        <w:t>О ранжировке заявок</w:t>
      </w:r>
    </w:p>
    <w:p>
      <w:pPr>
        <w:pStyle w:val="Normal"/>
        <w:widowControl w:val="false"/>
        <w:spacing w:lineRule="auto" w:line="240"/>
        <w:ind w:hanging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25"/>
        <w:widowControl w:val="false"/>
        <w:numPr>
          <w:ilvl w:val="0"/>
          <w:numId w:val="13"/>
        </w:numPr>
        <w:tabs>
          <w:tab w:val="clear" w:pos="708"/>
          <w:tab w:val="left" w:pos="426" w:leader="none"/>
        </w:tabs>
        <w:spacing w:before="0" w:after="120"/>
        <w:ind w:left="0" w:hanging="0"/>
        <w:rPr>
          <w:sz w:val="26"/>
          <w:szCs w:val="26"/>
        </w:rPr>
      </w:pPr>
      <w:r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W w:w="968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656"/>
        <w:gridCol w:w="794"/>
        <w:gridCol w:w="793"/>
        <w:gridCol w:w="1082"/>
        <w:gridCol w:w="1018"/>
        <w:gridCol w:w="1135"/>
        <w:gridCol w:w="1135"/>
        <w:gridCol w:w="1071"/>
      </w:tblGrid>
      <w:tr>
        <w:trPr>
          <w:trHeight w:val="394" w:hRule="atLeast"/>
        </w:trPr>
        <w:tc>
          <w:tcPr>
            <w:tcW w:w="26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0"/>
              </w:rPr>
            </w:pPr>
            <w:r>
              <w:rPr>
                <w:sz w:val="20"/>
              </w:rPr>
              <w:t>Критерий оценки (подкритерий)</w:t>
            </w:r>
          </w:p>
        </w:tc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0"/>
              </w:rPr>
            </w:pPr>
            <w:r>
              <w:rPr>
                <w:sz w:val="20"/>
              </w:rPr>
              <w:t>Весовой коэффициент значимости</w:t>
            </w:r>
          </w:p>
        </w:tc>
        <w:tc>
          <w:tcPr>
            <w:tcW w:w="544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0"/>
              </w:rPr>
            </w:pPr>
            <w:r>
              <w:rPr>
                <w:sz w:val="20"/>
              </w:rPr>
              <w:t>Количество баллов, присужденных заявке по каждому критерию / подкритерию</w:t>
              <w:br/>
              <w:t>(с учетом весового коэффициента значимости)</w:t>
            </w:r>
          </w:p>
        </w:tc>
      </w:tr>
      <w:tr>
        <w:trPr>
          <w:trHeight w:val="360" w:hRule="atLeast"/>
        </w:trPr>
        <w:tc>
          <w:tcPr>
            <w:tcW w:w="265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79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0"/>
              </w:rPr>
            </w:pPr>
            <w:r>
              <w:rPr>
                <w:sz w:val="20"/>
              </w:rPr>
              <w:t>критерия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97" w:leader="none"/>
                <w:tab w:val="left" w:pos="3544" w:leader="none"/>
              </w:tabs>
              <w:spacing w:lineRule="auto" w:line="240"/>
              <w:ind w:right="34" w:hanging="0"/>
              <w:jc w:val="center"/>
              <w:rPr>
                <w:sz w:val="20"/>
              </w:rPr>
            </w:pPr>
            <w:r>
              <w:rPr>
                <w:sz w:val="20"/>
              </w:rPr>
              <w:t>подкритерия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val="auto"/>
                <w:kern w:val="0"/>
                <w:sz w:val="24"/>
                <w:szCs w:val="26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/>
                <w:color w:val="auto"/>
                <w:kern w:val="0"/>
                <w:sz w:val="24"/>
                <w:szCs w:val="26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i/>
                <w:color w:val="auto"/>
                <w:kern w:val="0"/>
                <w:sz w:val="24"/>
                <w:szCs w:val="26"/>
                <w:lang w:val="ru-RU" w:eastAsia="ru-RU" w:bidi="ar-SA"/>
              </w:rPr>
              <w:t>366702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val="auto"/>
                <w:kern w:val="0"/>
                <w:sz w:val="24"/>
                <w:szCs w:val="26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/>
                <w:color w:val="auto"/>
                <w:kern w:val="0"/>
                <w:sz w:val="24"/>
                <w:szCs w:val="26"/>
                <w:lang w:val="ru-RU" w:eastAsia="ru-RU" w:bidi="ar-SA"/>
              </w:rPr>
              <w:t xml:space="preserve"> № </w:t>
            </w:r>
            <w:r>
              <w:rPr>
                <w:rFonts w:eastAsia="Times New Roman" w:cs="Times New Roman"/>
                <w:b/>
                <w:i/>
                <w:color w:val="auto"/>
                <w:kern w:val="0"/>
                <w:sz w:val="24"/>
                <w:szCs w:val="26"/>
                <w:lang w:val="ru-RU" w:eastAsia="ru-RU" w:bidi="ar-SA"/>
              </w:rPr>
              <w:t>367160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val="auto"/>
                <w:kern w:val="0"/>
                <w:sz w:val="24"/>
                <w:szCs w:val="26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/>
                <w:color w:val="auto"/>
                <w:kern w:val="0"/>
                <w:sz w:val="24"/>
                <w:szCs w:val="26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i/>
                <w:color w:val="auto"/>
                <w:kern w:val="0"/>
                <w:sz w:val="24"/>
                <w:szCs w:val="26"/>
                <w:lang w:val="ru-RU" w:eastAsia="ru-RU" w:bidi="ar-SA"/>
              </w:rPr>
              <w:t>367163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val="auto"/>
                <w:kern w:val="0"/>
                <w:sz w:val="24"/>
                <w:szCs w:val="26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/>
                <w:color w:val="auto"/>
                <w:kern w:val="0"/>
                <w:sz w:val="24"/>
                <w:szCs w:val="26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i/>
                <w:color w:val="auto"/>
                <w:kern w:val="0"/>
                <w:sz w:val="24"/>
                <w:szCs w:val="26"/>
                <w:lang w:val="ru-RU" w:eastAsia="ru-RU" w:bidi="ar-SA"/>
              </w:rPr>
              <w:t>367167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color w:val="auto"/>
                <w:kern w:val="0"/>
                <w:sz w:val="24"/>
                <w:szCs w:val="26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/>
                <w:color w:val="auto"/>
                <w:kern w:val="0"/>
                <w:sz w:val="24"/>
                <w:szCs w:val="26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i/>
                <w:color w:val="auto"/>
                <w:kern w:val="0"/>
                <w:sz w:val="24"/>
                <w:szCs w:val="26"/>
                <w:lang w:val="ru-RU" w:eastAsia="ru-RU" w:bidi="ar-SA"/>
              </w:rPr>
              <w:t>367176</w:t>
            </w:r>
          </w:p>
        </w:tc>
      </w:tr>
      <w:tr>
        <w:trPr>
          <w:trHeight w:val="763" w:hRule="atLeast"/>
        </w:trPr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Критерий оценки 1: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left"/>
              <w:rPr>
                <w:i/>
                <w:i/>
                <w:sz w:val="24"/>
                <w:szCs w:val="22"/>
              </w:rPr>
            </w:pPr>
            <w:r>
              <w:rPr>
                <w:i/>
                <w:sz w:val="24"/>
                <w:szCs w:val="22"/>
              </w:rPr>
              <w:t>Понижающий коэффициент K1 –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left"/>
              <w:rPr>
                <w:b/>
                <w:i/>
                <w:i/>
                <w:sz w:val="24"/>
                <w:szCs w:val="22"/>
              </w:rPr>
            </w:pPr>
            <w:r>
              <w:rPr>
                <w:i/>
                <w:sz w:val="24"/>
                <w:szCs w:val="22"/>
              </w:rPr>
              <w:t>тендерный коэффициент</w:t>
            </w: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95%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-//-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2665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4,</w:t>
            </w:r>
            <w:r>
              <w:rPr>
                <w:sz w:val="24"/>
                <w:szCs w:val="22"/>
              </w:rPr>
              <w:t>1057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4,</w:t>
            </w:r>
            <w:r>
              <w:rPr>
                <w:sz w:val="24"/>
                <w:szCs w:val="22"/>
              </w:rPr>
              <w:t>3764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4,</w:t>
            </w:r>
            <w:r>
              <w:rPr>
                <w:sz w:val="24"/>
                <w:szCs w:val="22"/>
              </w:rPr>
              <w:t>5000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3,9825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4,</w:t>
            </w:r>
            <w:r>
              <w:rPr>
                <w:sz w:val="24"/>
                <w:szCs w:val="22"/>
              </w:rPr>
              <w:t>3764</w:t>
            </w:r>
          </w:p>
        </w:tc>
      </w:tr>
      <w:tr>
        <w:trPr>
          <w:trHeight w:val="487" w:hRule="atLeast"/>
        </w:trPr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Критерий оценки 2: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left"/>
              <w:rPr>
                <w:sz w:val="24"/>
                <w:szCs w:val="22"/>
              </w:rPr>
            </w:pPr>
            <w:r>
              <w:rPr>
                <w:rFonts w:eastAsia="Times New Roman" w:cs="Times New Roman"/>
                <w:i/>
                <w:color w:val="auto"/>
                <w:kern w:val="0"/>
                <w:sz w:val="24"/>
                <w:szCs w:val="22"/>
                <w:lang w:val="ru-RU" w:eastAsia="ru-RU" w:bidi="ar-SA"/>
              </w:rPr>
              <w:t>Опыт Участника</w:t>
            </w: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5%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-//-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0,2500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0,2500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</w:t>
            </w:r>
            <w:r>
              <w:rPr>
                <w:sz w:val="24"/>
                <w:szCs w:val="22"/>
              </w:rPr>
              <w:t>2</w:t>
            </w:r>
            <w:r>
              <w:rPr>
                <w:sz w:val="24"/>
                <w:szCs w:val="22"/>
              </w:rPr>
              <w:t>500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0,0000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</w:t>
            </w:r>
            <w:r>
              <w:rPr>
                <w:sz w:val="24"/>
                <w:szCs w:val="22"/>
              </w:rPr>
              <w:t>00</w:t>
            </w:r>
            <w:r>
              <w:rPr>
                <w:sz w:val="24"/>
                <w:szCs w:val="22"/>
              </w:rPr>
              <w:t>00</w:t>
            </w:r>
          </w:p>
        </w:tc>
      </w:tr>
      <w:tr>
        <w:trPr>
          <w:trHeight w:val="487" w:hRule="atLeast"/>
        </w:trPr>
        <w:tc>
          <w:tcPr>
            <w:tcW w:w="26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left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Критерий оценки 3: </w:t>
            </w:r>
            <w:r>
              <w:rPr>
                <w:i/>
                <w:sz w:val="24"/>
                <w:szCs w:val="22"/>
              </w:rPr>
              <w:t>Финансовое состояние (устойчивость) Участника</w:t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5%</w:t>
            </w:r>
          </w:p>
        </w:tc>
        <w:tc>
          <w:tcPr>
            <w:tcW w:w="7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-//-</w:t>
            </w:r>
          </w:p>
        </w:tc>
        <w:tc>
          <w:tcPr>
            <w:tcW w:w="10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0,2500</w:t>
            </w:r>
          </w:p>
        </w:tc>
        <w:tc>
          <w:tcPr>
            <w:tcW w:w="1018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0,1500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0,1500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0,1500</w:t>
            </w:r>
          </w:p>
        </w:tc>
        <w:tc>
          <w:tcPr>
            <w:tcW w:w="10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right="33" w:hanging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0,1500</w:t>
            </w:r>
          </w:p>
        </w:tc>
      </w:tr>
      <w:tr>
        <w:trPr>
          <w:trHeight w:val="55" w:hRule="atLeast"/>
        </w:trPr>
        <w:tc>
          <w:tcPr>
            <w:tcW w:w="42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 w:before="120" w:after="0"/>
              <w:ind w:hanging="0"/>
              <w:jc w:val="right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Итоговый балл заявки </w:t>
              <w:br/>
              <w:t>(с учетом весовых коэффициентов значимости)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4,6057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4,</w:t>
            </w:r>
            <w:r>
              <w:rPr>
                <w:b/>
                <w:sz w:val="24"/>
                <w:szCs w:val="22"/>
              </w:rPr>
              <w:t>7764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4,</w:t>
            </w:r>
            <w:r>
              <w:rPr>
                <w:b/>
                <w:sz w:val="24"/>
                <w:szCs w:val="22"/>
              </w:rPr>
              <w:t>9000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4,</w:t>
            </w:r>
            <w:r>
              <w:rPr>
                <w:b/>
                <w:sz w:val="24"/>
                <w:szCs w:val="22"/>
              </w:rPr>
              <w:t>1325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 w:before="120" w:after="0"/>
              <w:ind w:hanging="0"/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4,</w:t>
            </w:r>
            <w:r>
              <w:rPr>
                <w:b/>
                <w:sz w:val="24"/>
                <w:szCs w:val="22"/>
              </w:rPr>
              <w:t>5264</w:t>
            </w:r>
          </w:p>
        </w:tc>
      </w:tr>
    </w:tbl>
    <w:p>
      <w:pPr>
        <w:pStyle w:val="ListParagraph"/>
        <w:widowControl w:val="false"/>
        <w:spacing w:lineRule="auto" w:line="240"/>
        <w:ind w:left="720" w:hanging="0"/>
        <w:rPr>
          <w:sz w:val="18"/>
          <w:szCs w:val="26"/>
        </w:rPr>
      </w:pPr>
      <w:r>
        <w:rPr>
          <w:sz w:val="18"/>
          <w:szCs w:val="26"/>
        </w:rPr>
      </w:r>
    </w:p>
    <w:p>
      <w:pPr>
        <w:pStyle w:val="25"/>
        <w:widowControl w:val="false"/>
        <w:numPr>
          <w:ilvl w:val="0"/>
          <w:numId w:val="14"/>
        </w:numPr>
        <w:tabs>
          <w:tab w:val="clear" w:pos="708"/>
          <w:tab w:val="left" w:pos="426" w:leader="none"/>
        </w:tabs>
        <w:spacing w:before="0" w:after="120"/>
        <w:ind w:left="0" w:hanging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978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088"/>
        <w:gridCol w:w="2851"/>
        <w:gridCol w:w="2755"/>
        <w:gridCol w:w="2059"/>
        <w:gridCol w:w="1027"/>
      </w:tblGrid>
      <w:tr>
        <w:trPr/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Место в предвари-тельной ранжировке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Дата и время регистрации заявки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Предельное максимальное значение цены договора, </w:t>
              <w:br/>
              <w:t>руб. без НДС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Тендерный коэффициент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</w:r>
          </w:p>
        </w:tc>
      </w:tr>
      <w:tr>
        <w:trPr/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21.03.2025 04:28:57 MCK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№367163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/>
            </w:pPr>
            <w:r>
              <w:rPr/>
              <w:t>34 900 000,00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885</w:t>
            </w:r>
          </w:p>
        </w:tc>
      </w:tr>
      <w:tr>
        <w:trPr/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numPr>
                <w:ilvl w:val="0"/>
                <w:numId w:val="0"/>
              </w:numPr>
              <w:bidi w:val="0"/>
              <w:spacing w:lineRule="auto" w:line="240"/>
              <w:ind w:left="0" w:hanging="0"/>
              <w:jc w:val="center"/>
              <w:rPr/>
            </w:pPr>
            <w:r>
              <w:rPr>
                <w:sz w:val="24"/>
              </w:rPr>
              <w:t>21.03.2025 03:48:04 MCK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№367160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/>
            </w:pPr>
            <w:r>
              <w:rPr/>
              <w:t>34 900 000,00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910</w:t>
            </w:r>
          </w:p>
        </w:tc>
      </w:tr>
      <w:tr>
        <w:trPr/>
        <w:tc>
          <w:tcPr>
            <w:tcW w:w="1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20.03.2025 08:00:49 MCK</w:t>
            </w:r>
          </w:p>
        </w:tc>
        <w:tc>
          <w:tcPr>
            <w:tcW w:w="2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№366702</w:t>
            </w:r>
          </w:p>
        </w:tc>
        <w:tc>
          <w:tcPr>
            <w:tcW w:w="20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/>
            </w:pPr>
            <w:r>
              <w:rPr/>
              <w:t>34 900 000,00</w:t>
            </w:r>
          </w:p>
        </w:tc>
        <w:tc>
          <w:tcPr>
            <w:tcW w:w="1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970</w:t>
            </w:r>
          </w:p>
        </w:tc>
      </w:tr>
      <w:tr>
        <w:trPr/>
        <w:tc>
          <w:tcPr>
            <w:tcW w:w="1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место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21.03.2025 06:07:35 MCK</w:t>
            </w:r>
          </w:p>
        </w:tc>
        <w:tc>
          <w:tcPr>
            <w:tcW w:w="2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№367176</w:t>
            </w:r>
          </w:p>
        </w:tc>
        <w:tc>
          <w:tcPr>
            <w:tcW w:w="20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/>
            </w:pPr>
            <w:r>
              <w:rPr/>
              <w:t>34 900 000,00</w:t>
            </w:r>
          </w:p>
        </w:tc>
        <w:tc>
          <w:tcPr>
            <w:tcW w:w="1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  <w:r>
              <w:rPr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10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место</w:t>
            </w:r>
          </w:p>
        </w:tc>
        <w:tc>
          <w:tcPr>
            <w:tcW w:w="2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21.03.2025 06:07:35 MCK</w:t>
            </w:r>
          </w:p>
        </w:tc>
        <w:tc>
          <w:tcPr>
            <w:tcW w:w="2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bidi w:val="0"/>
              <w:spacing w:lineRule="auto" w:line="240"/>
              <w:jc w:val="left"/>
              <w:rPr>
                <w:sz w:val="24"/>
              </w:rPr>
            </w:pPr>
            <w:r>
              <w:rPr>
                <w:sz w:val="24"/>
              </w:rPr>
              <w:t>Заявка №367167</w:t>
            </w:r>
          </w:p>
        </w:tc>
        <w:tc>
          <w:tcPr>
            <w:tcW w:w="20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0"/>
              <w:widowControl w:val="false"/>
              <w:jc w:val="center"/>
              <w:rPr/>
            </w:pPr>
            <w:r>
              <w:rPr/>
              <w:t>34 900 000,00</w:t>
            </w:r>
          </w:p>
        </w:tc>
        <w:tc>
          <w:tcPr>
            <w:tcW w:w="10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</w:tr>
    </w:tbl>
    <w:p>
      <w:pPr>
        <w:pStyle w:val="Normal"/>
        <w:keepNext w:val="true"/>
        <w:tabs>
          <w:tab w:val="clear" w:pos="708"/>
          <w:tab w:val="left" w:pos="5940" w:leader="none"/>
        </w:tabs>
        <w:spacing w:lineRule="auto" w:line="240"/>
        <w:ind w:hanging="0"/>
        <w:rPr>
          <w:b/>
          <w:spacing w:val="4"/>
          <w:sz w:val="26"/>
          <w:szCs w:val="26"/>
        </w:rPr>
      </w:pPr>
      <w:r>
        <w:rPr>
          <w:b/>
          <w:spacing w:val="4"/>
          <w:sz w:val="26"/>
          <w:szCs w:val="26"/>
        </w:rPr>
      </w:r>
    </w:p>
    <w:p>
      <w:pPr>
        <w:pStyle w:val="BodyTextIndent2"/>
        <w:ind w:hanging="0"/>
        <w:rPr>
          <w:b/>
          <w:bCs/>
          <w:i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>ВОПРОС № 2 О выборе победителя закупки</w:t>
      </w:r>
    </w:p>
    <w:p>
      <w:pPr>
        <w:pStyle w:val="Normal"/>
        <w:spacing w:lineRule="auto" w:line="240"/>
        <w:ind w:hanging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>
      <w:pPr>
        <w:pStyle w:val="25"/>
        <w:numPr>
          <w:ilvl w:val="0"/>
          <w:numId w:val="2"/>
        </w:numPr>
        <w:tabs>
          <w:tab w:val="clear" w:pos="708"/>
          <w:tab w:val="left" w:pos="0" w:leader="none"/>
        </w:tabs>
        <w:ind w:left="0" w:firstLine="567"/>
        <w:rPr/>
      </w:pPr>
      <w:r>
        <w:rPr>
          <w:sz w:val="26"/>
          <w:szCs w:val="26"/>
        </w:rPr>
        <w:t xml:space="preserve">На основании приведенной ранжировки заявок предлагается признать победителем закупки </w:t>
      </w:r>
      <w:r>
        <w:rPr>
          <w:b/>
          <w:bCs/>
          <w:i/>
          <w:iCs/>
          <w:sz w:val="26"/>
          <w:szCs w:val="26"/>
        </w:rPr>
        <w:t>ОКДП2 42.22.12.110 Выполнение строительно-монтажных работ (включая поставку оборудования и материалов), проектно-изыскательских и кадастровых работ для технологического присоединения энергопринимающих устройств потребителей к электрическим сетям на территории обслуживания структурного подразделения "Приморские южные электрические сети" в рамках инвестиционной программы филиала "Приморские электрические сети" (рамочный договор)</w:t>
      </w:r>
      <w:r>
        <w:rPr>
          <w:b/>
          <w:bCs/>
          <w:i/>
          <w:iCs/>
          <w:sz w:val="26"/>
          <w:szCs w:val="26"/>
          <w:lang w:bidi="ru-RU"/>
        </w:rPr>
        <w:t xml:space="preserve"> </w:t>
      </w:r>
      <w:r>
        <w:rPr>
          <w:sz w:val="26"/>
          <w:szCs w:val="26"/>
        </w:rPr>
        <w:t>лот № 18</w:t>
      </w:r>
      <w:r>
        <w:rPr>
          <w:sz w:val="26"/>
          <w:szCs w:val="26"/>
        </w:rPr>
        <w:t>94</w:t>
      </w:r>
      <w:r>
        <w:rPr>
          <w:sz w:val="26"/>
          <w:szCs w:val="26"/>
        </w:rPr>
        <w:t xml:space="preserve">01-КС ПИР СМР-2025-ДРСК-ПЭС </w:t>
      </w:r>
      <w:r>
        <w:rPr>
          <w:sz w:val="26"/>
          <w:szCs w:val="26"/>
          <w:lang w:eastAsia="en-US"/>
        </w:rPr>
        <w:t>Участника</w:t>
      </w:r>
      <w:r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>
        <w:rPr>
          <w:sz w:val="26"/>
          <w:szCs w:val="26"/>
          <w:lang w:eastAsia="en-US"/>
        </w:rPr>
        <w:t>для</w:t>
      </w:r>
      <w:r>
        <w:rPr>
          <w:sz w:val="26"/>
          <w:szCs w:val="26"/>
        </w:rPr>
        <w:t xml:space="preserve"> заказчика: № </w:t>
      </w:r>
      <w:r>
        <w:rPr>
          <w:rFonts w:eastAsia="Calibri" w:cs=""/>
          <w:b/>
          <w:bCs w:val="false"/>
          <w:kern w:val="0"/>
          <w:sz w:val="26"/>
          <w:szCs w:val="26"/>
          <w:lang w:val="ru-RU" w:eastAsia="en-US" w:bidi="ar-SA"/>
        </w:rPr>
        <w:t xml:space="preserve">367163 - </w:t>
      </w:r>
      <w:r>
        <w:rPr>
          <w:rFonts w:eastAsia="Calibri" w:cs=""/>
          <w:b/>
          <w:bCs/>
          <w:i/>
          <w:iCs/>
          <w:kern w:val="0"/>
          <w:sz w:val="26"/>
          <w:szCs w:val="26"/>
          <w:lang w:val="ru-RU" w:eastAsia="en-US" w:bidi="ar-SA"/>
        </w:rPr>
        <w:t>О</w:t>
      </w:r>
      <w:r>
        <w:rPr>
          <w:rFonts w:eastAsia="Calibri" w:cs=""/>
          <w:b/>
          <w:bCs/>
          <w:i/>
          <w:iCs/>
          <w:color w:val="000000"/>
          <w:kern w:val="0"/>
          <w:sz w:val="26"/>
          <w:szCs w:val="26"/>
          <w:lang w:val="ru-RU" w:eastAsia="en-US" w:bidi="ar-SA"/>
        </w:rPr>
        <w:t xml:space="preserve">ОО "ПУСК" </w:t>
      </w:r>
      <w:r>
        <w:rPr>
          <w:rFonts w:eastAsia="Calibri" w:cs=""/>
          <w:b w:val="false"/>
          <w:bCs w:val="false"/>
          <w:i w:val="false"/>
          <w:iCs w:val="false"/>
          <w:color w:val="000000"/>
          <w:kern w:val="0"/>
          <w:sz w:val="26"/>
          <w:szCs w:val="26"/>
          <w:lang w:val="ru-RU" w:eastAsia="en-US" w:bidi="ar-SA"/>
        </w:rPr>
        <w:t xml:space="preserve">(лидер КУ, ИП Саблина М.В. - член КУ) </w:t>
      </w:r>
      <w:r>
        <w:rPr>
          <w:rFonts w:eastAsia="Calibri" w:cs=""/>
          <w:b w:val="false"/>
          <w:bCs w:val="false"/>
          <w:i w:val="false"/>
          <w:iCs w:val="false"/>
          <w:color w:val="000000"/>
          <w:kern w:val="0"/>
          <w:sz w:val="26"/>
          <w:szCs w:val="26"/>
          <w:lang w:val="ru-RU" w:eastAsia="en-US" w:bidi="ar-SA"/>
        </w:rPr>
        <w:t>ИНН 2502059234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: на условиях: Предельная стоимость договора в соответствии с п. 3.1. Проекта Догово</w:t>
      </w:r>
      <w:r>
        <w:rPr>
          <w:sz w:val="26"/>
          <w:szCs w:val="26"/>
        </w:rPr>
        <w:t xml:space="preserve">ра (Приложение 2 к Документации о закупке) составляет </w:t>
      </w:r>
      <w:r>
        <w:rPr>
          <w:b/>
          <w:bCs/>
          <w:i/>
          <w:iCs/>
          <w:sz w:val="26"/>
          <w:szCs w:val="26"/>
        </w:rPr>
        <w:t>34 9</w:t>
      </w:r>
      <w:r>
        <w:rPr>
          <w:b/>
          <w:i/>
          <w:sz w:val="26"/>
          <w:szCs w:val="26"/>
          <w:lang w:eastAsia="en-US"/>
        </w:rPr>
        <w:t xml:space="preserve">00 000,00 </w:t>
      </w:r>
      <w:r>
        <w:rPr>
          <w:sz w:val="26"/>
          <w:szCs w:val="26"/>
        </w:rPr>
        <w:t>рублей без учета НДС.</w:t>
      </w:r>
      <w:r>
        <w:rPr>
          <w:sz w:val="26"/>
          <w:szCs w:val="26"/>
          <w:lang w:eastAsia="en-US"/>
        </w:rPr>
        <w:t xml:space="preserve"> Цена договора определяется из стоимости проектирования одной единицы конструктивного элемента, указанной в Протоколе согласования договорной цены (Приложение № 2 к настоящему договору) с применением тендерного коэффициента (0,8</w:t>
      </w:r>
      <w:r>
        <w:rPr>
          <w:sz w:val="26"/>
          <w:szCs w:val="26"/>
          <w:lang w:eastAsia="en-US"/>
        </w:rPr>
        <w:t>85</w:t>
      </w:r>
      <w:r>
        <w:rPr>
          <w:sz w:val="26"/>
          <w:szCs w:val="26"/>
          <w:lang w:eastAsia="en-US"/>
        </w:rPr>
        <w:t>) и ин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en-US" w:bidi="ar-SA"/>
        </w:rPr>
        <w:t>дексации не подлежит. Срок выполнения работ: с даты, следующей за датой заключения Договора по 31.12.2025. Условия оплаты: Платежи в размере стоимости каждого выполненного Этапа Работ (за исключением проектных работ), указанного в  дополнительном соглашении к Договору, выплачиваются в течение   7 (семи) рабочих дней с даты подписания Сторонами документов, указанных в пункте 4.2 Договора, на основании счёта, выставленного Подрядчиком, и с учетом пунктов 3.7.3, 3.7.4 Договора. Гарантийные обязательства: Гарантийный срок по Договору составляет 60 (шестьдесят) месяцев и начинает течь с даты подписания Сторонами Акта КС-11 либо с даты прекращения (расторжения) Договора. Гарантийный срок может быть продл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en-US" w:bidi="ar-SA"/>
        </w:rPr>
        <w:t>ен в соответствии с условиями Договора.</w:t>
      </w:r>
    </w:p>
    <w:p>
      <w:pPr>
        <w:pStyle w:val="25"/>
        <w:numPr>
          <w:ilvl w:val="0"/>
          <w:numId w:val="2"/>
        </w:numPr>
        <w:tabs>
          <w:tab w:val="clear" w:pos="708"/>
          <w:tab w:val="left" w:pos="0" w:leader="none"/>
        </w:tabs>
        <w:ind w:left="0" w:firstLine="567"/>
        <w:rPr>
          <w:rFonts w:ascii="Times New Roman" w:hAnsi="Times New Roman" w:eastAsia="Times New Roman" w:cs="Times New Roman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en-US" w:bidi="ar-SA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>
      <w:pPr>
        <w:pStyle w:val="25"/>
        <w:numPr>
          <w:ilvl w:val="0"/>
          <w:numId w:val="2"/>
        </w:numPr>
        <w:tabs>
          <w:tab w:val="clear" w:pos="708"/>
          <w:tab w:val="left" w:pos="0" w:leader="none"/>
        </w:tabs>
        <w:ind w:left="0" w:firstLine="567"/>
        <w:rPr>
          <w:rFonts w:ascii="Times New Roman" w:hAnsi="Times New Roman" w:eastAsia="Times New Roman" w:cs="Times New Roman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en-US" w:bidi="ar-SA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>
      <w:pPr>
        <w:pStyle w:val="25"/>
        <w:tabs>
          <w:tab w:val="clear" w:pos="708"/>
          <w:tab w:val="left" w:pos="0" w:leader="none"/>
        </w:tabs>
        <w:ind w:left="0" w:firstLine="567"/>
        <w:rPr>
          <w:rFonts w:ascii="Times New Roman" w:hAnsi="Times New Roman" w:eastAsia="Times New Roman" w:cs="Times New Roman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en-US" w:bidi="ar-SA"/>
        </w:rPr>
      </w:r>
    </w:p>
    <w:p>
      <w:pPr>
        <w:pStyle w:val="25"/>
        <w:tabs>
          <w:tab w:val="clear" w:pos="708"/>
          <w:tab w:val="left" w:pos="0" w:leader="none"/>
        </w:tabs>
        <w:ind w:left="0" w:firstLine="567"/>
        <w:rPr>
          <w:rFonts w:ascii="Times New Roman" w:hAnsi="Times New Roman" w:eastAsia="Times New Roman" w:cs="Times New Roman"/>
          <w:color w:val="auto"/>
          <w:kern w:val="0"/>
          <w:sz w:val="26"/>
          <w:szCs w:val="26"/>
          <w:lang w:val="ru-RU" w:eastAsia="en-US" w:bidi="ar-SA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en-US" w:bidi="ar-SA"/>
        </w:rPr>
      </w:r>
    </w:p>
    <w:p>
      <w:pPr>
        <w:pStyle w:val="25"/>
        <w:tabs>
          <w:tab w:val="clear" w:pos="708"/>
          <w:tab w:val="left" w:pos="0" w:leader="none"/>
        </w:tabs>
        <w:ind w:left="0" w:firstLine="567"/>
        <w:rPr>
          <w:sz w:val="26"/>
          <w:szCs w:val="26"/>
        </w:rPr>
      </w:pPr>
      <w:r>
        <w:rPr>
          <w:sz w:val="26"/>
          <w:szCs w:val="26"/>
        </w:rPr>
      </w:r>
    </w:p>
    <w:tbl>
      <w:tblPr>
        <w:tblW w:w="4900" w:type="pct"/>
        <w:jc w:val="left"/>
        <w:tblInd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noVBand="0" w:noHBand="0" w:lastColumn="0" w:firstColumn="0" w:lastRow="0" w:firstRow="0"/>
      </w:tblPr>
      <w:tblGrid>
        <w:gridCol w:w="5458"/>
        <w:gridCol w:w="4126"/>
      </w:tblGrid>
      <w:tr>
        <w:trPr>
          <w:trHeight w:val="302" w:hRule="atLeast"/>
        </w:trPr>
        <w:tc>
          <w:tcPr>
            <w:tcW w:w="5458" w:type="dxa"/>
            <w:tcBorders/>
          </w:tcPr>
          <w:p>
            <w:pPr>
              <w:pStyle w:val="BodyText"/>
              <w:widowControl w:val="false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Секретарь Закупочной комиссии:</w:t>
            </w:r>
          </w:p>
        </w:tc>
        <w:tc>
          <w:tcPr>
            <w:tcW w:w="4126" w:type="dxa"/>
            <w:tcBorders/>
          </w:tcPr>
          <w:p>
            <w:pPr>
              <w:pStyle w:val="ListNumber"/>
              <w:widowControl w:val="false"/>
              <w:spacing w:lineRule="auto" w:line="240" w:before="0"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386" w:hRule="atLeast"/>
        </w:trPr>
        <w:tc>
          <w:tcPr>
            <w:tcW w:w="5458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26" w:type="dxa"/>
            <w:tcBorders/>
          </w:tcPr>
          <w:p>
            <w:pPr>
              <w:pStyle w:val="BodyText"/>
              <w:widowControl w:val="false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</w:tbl>
    <w:p>
      <w:pPr>
        <w:pStyle w:val="BodyText"/>
        <w:jc w:val="both"/>
        <w:rPr>
          <w:sz w:val="18"/>
          <w:szCs w:val="18"/>
        </w:rPr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8" w:right="707" w:gutter="0" w:header="284" w:top="677" w:footer="0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Verdan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612085775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3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3</w:t>
        </w:r>
        <w:r>
          <w:rPr>
            <w:sz w:val="16"/>
            <w:b/>
            <w:szCs w:val="16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>Итоговый протокол закупка 18</w:t>
    </w:r>
    <w:r>
      <w:rPr>
        <w:i/>
        <w:sz w:val="20"/>
      </w:rPr>
      <w:t>94</w:t>
    </w:r>
    <w:r>
      <w:rPr>
        <w:i/>
        <w:sz w:val="20"/>
      </w:rPr>
      <w:t>01 раздел 2.1.1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sz w:val="24"/>
        <w:i w:val="false"/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1070" w:hanging="360"/>
      </w:pPr>
      <w:rPr>
        <w:b w:val="fals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i w:val="false"/>
        <w:b w:val="fals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i w:val="false"/>
        <w:b w:val="fals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i w:val="false"/>
        <w:b w:val="fals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fals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i w:val="false"/>
        <w:b w:val="fals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fals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3"/>
    <w:lvlOverride w:ilvl="0">
      <w:startOverride w:val="1"/>
    </w:lvlOverride>
  </w:num>
  <w:num w:numId="12">
    <w:abstractNumId w:val="3"/>
  </w:num>
  <w:num w:numId="13">
    <w:abstractNumId w:val="7"/>
    <w:lvlOverride w:ilvl="0">
      <w:startOverride w:val="1"/>
    </w:lvlOverride>
  </w:num>
  <w:num w:numId="14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sz w:val="24"/>
          <w:i w:val="false"/>
          <w:b w:val="false"/>
        </w:rPr>
      </w:lvl>
    </w:lvlOverride>
    <w:lvlOverride w:ilvl="0">
      <w:startOverride w:val="1"/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/>
      </w:lvl>
    </w:lvlOverride>
    <w:lvlOverride w:ilvl="1">
      <w:startOverride w:val="1"/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/>
      </w:lvl>
    </w:lvlOverride>
    <w:lvlOverride w:ilvl="2">
      <w:startOverride w:val="1"/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b w:val="false"/>
        </w:rPr>
      </w:lvl>
    </w:lvlOverride>
    <w:lvlOverride w:ilvl="3">
      <w:startOverride w:val="1"/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/>
      </w:lvl>
    </w:lvlOverride>
    <w:lvlOverride w:ilvl="4">
      <w:startOverride w:val="1"/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/>
      </w:lvl>
    </w:lvlOverride>
    <w:lvlOverride w:ilvl="5">
      <w:startOverride w:val="1"/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/>
      </w:lvl>
    </w:lvlOverride>
    <w:lvlOverride w:ilvl="6">
      <w:startOverride w:val="1"/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/>
      </w:lvl>
    </w:lvlOverride>
    <w:lvlOverride w:ilvl="7">
      <w:startOverride w:val="1"/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/>
      </w:lvl>
    </w:lvlOverride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23f9b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qFormat/>
    <w:rsid w:val="00eb25e3"/>
    <w:pPr>
      <w:keepNext w:val="true"/>
      <w:tabs>
        <w:tab w:val="clear" w:pos="708"/>
        <w:tab w:val="left" w:pos="1134" w:leader="none"/>
      </w:tabs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semiHidden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qFormat/>
    <w:rsid w:val="00eb25e3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Style10" w:customStyle="1">
    <w:name w:val="Символ нумерации"/>
    <w:qFormat/>
    <w:rPr/>
  </w:style>
  <w:style w:type="character" w:styleId="Style11" w:customStyle="1">
    <w:name w:val="Маркеры"/>
    <w:qFormat/>
    <w:rPr>
      <w:rFonts w:ascii="OpenSymbol" w:hAnsi="OpenSymbol" w:eastAsia="OpenSymbol" w:cs="OpenSymbol"/>
    </w:rPr>
  </w:style>
  <w:style w:type="character" w:styleId="Style12">
    <w:name w:val="Заголовок Знак"/>
    <w:qFormat/>
    <w:rPr>
      <w:b/>
      <w:smallCaps/>
      <w:color w:val="000000"/>
      <w:sz w:val="32"/>
    </w:rPr>
  </w:style>
  <w:style w:type="character" w:styleId="Style13">
    <w:name w:val="Основной текст с отступом Знак"/>
    <w:qFormat/>
    <w:rPr>
      <w:i/>
      <w:color w:val="000000"/>
    </w:rPr>
  </w:style>
  <w:style w:type="character" w:styleId="Style14">
    <w:name w:val="Пункт Знак"/>
    <w:qFormat/>
    <w:rPr>
      <w:sz w:val="28"/>
      <w:lang w:val="ru-RU" w:eastAsia="ru-RU" w:bidi="ar-SA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7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8" w:customStyle="1">
    <w:name w:val="Пункт"/>
    <w:basedOn w:val="Normal"/>
    <w:qFormat/>
    <w:rsid w:val="00eb25e3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8"/>
    <w:qFormat/>
    <w:rsid w:val="00eb25e3"/>
    <w:pPr>
      <w:keepNext w:val="true"/>
      <w:outlineLvl w:val="2"/>
    </w:pPr>
    <w:rPr>
      <w:b/>
    </w:rPr>
  </w:style>
  <w:style w:type="paragraph" w:styleId="25" w:customStyle="1">
    <w:name w:val="Основной текст 25"/>
    <w:basedOn w:val="Normal"/>
    <w:qFormat/>
    <w:rsid w:val="00a02900"/>
    <w:pPr>
      <w:spacing w:lineRule="auto" w:line="240"/>
    </w:pPr>
    <w:rPr>
      <w:sz w:val="24"/>
    </w:rPr>
  </w:style>
  <w:style w:type="paragraph" w:styleId="Style19" w:customStyle="1">
    <w:name w:val="Таблица шапка"/>
    <w:basedOn w:val="Normal"/>
    <w:qFormat/>
    <w:rsid w:val="005331c1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Style20" w:customStyle="1">
    <w:name w:val="Содержимое таблицы"/>
    <w:basedOn w:val="Normal"/>
    <w:qFormat/>
    <w:rsid w:val="009e33f1"/>
    <w:pPr>
      <w:widowControl w:val="false"/>
      <w:suppressLineNumbers/>
      <w:spacing w:lineRule="auto" w:line="240"/>
      <w:ind w:hanging="0"/>
      <w:jc w:val="left"/>
    </w:pPr>
    <w:rPr>
      <w:rFonts w:eastAsia="Lucida Sans Unicode" w:cs="Tahoma"/>
      <w:kern w:val="2"/>
      <w:sz w:val="24"/>
      <w:szCs w:val="24"/>
      <w:lang w:bidi="ru-RU"/>
    </w:rPr>
  </w:style>
  <w:style w:type="paragraph" w:styleId="Style21">
    <w:name w:val="Знак"/>
    <w:basedOn w:val="Normal"/>
    <w:qFormat/>
    <w:pPr>
      <w:tabs>
        <w:tab w:val="clear" w:pos="708"/>
        <w:tab w:val="left" w:pos="360" w:leader="none"/>
      </w:tabs>
      <w:spacing w:lineRule="exact" w:line="240" w:before="0" w:after="160"/>
      <w:ind w:hanging="0"/>
      <w:jc w:val="left"/>
    </w:pPr>
    <w:rPr>
      <w:rFonts w:ascii="Verdana" w:hAnsi="Verdana" w:cs="Verdana"/>
      <w:sz w:val="20"/>
      <w:lang w:val="en-US" w:eastAsia="en-US"/>
    </w:rPr>
  </w:style>
  <w:style w:type="paragraph" w:styleId="212">
    <w:name w:val="Основной текст 21"/>
    <w:basedOn w:val="Normal"/>
    <w:qFormat/>
    <w:pPr>
      <w:spacing w:lineRule="exact" w:line="240"/>
      <w:ind w:firstLine="567"/>
    </w:pPr>
    <w:rPr>
      <w:sz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uiPriority w:val="59"/>
    <w:rsid w:val="002560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b">
    <w:name w:val="Table Grid"/>
    <w:basedOn w:val="a1"/>
    <w:uiPriority w:val="59"/>
    <w:rsid w:val="00fb19f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">
    <w:name w:val="Сетка таблицы11"/>
    <w:basedOn w:val="a1"/>
    <w:uiPriority w:val="59"/>
    <w:rsid w:val="00ca34c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style34474">
    <w:name w:val="style34474"/>
    <w:uiPriority w:val="99"/>
    <w:rsid w:val="00e13e20"/>
    <w:rPr>
      <w:lang w:eastAsia="ru-RU"/>
      <w:sz w:val="24"/>
      <w:szCs w:val="24"/>
    </w:rPr>
    <w:tblPr>
      <w:tblBorders>
        <w:top w:val="single" w:color="000000" w:sz="1" w:space="0"/>
        <w:left w:val="single" w:color="000000" w:sz="1" w:space="0"/>
        <w:bottom w:val="single" w:color="000000" w:sz="1" w:space="0"/>
        <w:right w:val="single" w:color="000000" w:sz="1" w:space="0"/>
        <w:insideH w:val="single" w:color="000000" w:sz="1" w:space="0"/>
        <w:insideV w:val="single" w:color="000000" w:sz="1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Application>AlterOffice/3.3.1.3$Linux_X86_64 LibreOffice_project/90d829a0d92d6015ad4fa014ce4f460a7fe6c0ba</Application>
  <AppVersion>15.0000</AppVersion>
  <Pages>3</Pages>
  <Words>683</Words>
  <Characters>4562</Characters>
  <CharactersWithSpaces>5130</CharactersWithSpaces>
  <Paragraphs>118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2014-08-07T23:18:00Z</dcterms:created>
  <dc:creator>okzt5</dc:creator>
  <dc:description/>
  <dc:language>ru-RU</dc:language>
  <cp:lastModifiedBy>kovrizhkina_ey</cp:lastModifiedBy>
  <cp:lastPrinted>2020-03-17T06:08:00Z</cp:lastPrinted>
  <dcterms:modified xsi:type="dcterms:W3CDTF">2025-04-01T10:25:52Z</dcterms:modified>
  <cp:revision>224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